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F2" w:rsidRDefault="008E0BF2" w:rsidP="008E0BF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2406"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коучинг»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</w:p>
    <w:p w:rsidR="008E0BF2" w:rsidRDefault="008E0BF2" w:rsidP="008E0BF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 тақырыптары</w:t>
      </w:r>
    </w:p>
    <w:p w:rsidR="008E0BF2" w:rsidRPr="0079068B" w:rsidRDefault="008E0BF2" w:rsidP="008E0BF2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8E0BF2" w:rsidRPr="0079068B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9068B">
        <w:rPr>
          <w:rFonts w:ascii="Times New Roman" w:hAnsi="Times New Roman" w:cs="Times New Roman"/>
          <w:sz w:val="24"/>
          <w:szCs w:val="24"/>
          <w:lang w:val="kk-KZ"/>
        </w:rPr>
        <w:t>Коучингтің ойлау қабілеті.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Оқу үдерісіне эгоның ықпалы.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Өзара түсіністік пен өзара қарым-қатынасты қалыптастыру.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Зейінді шоғырландыру әдістері.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Тиімді сұрақтар қою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Тиімді кері байланыс орнату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5101D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C85441">
        <w:rPr>
          <w:rFonts w:ascii="Times New Roman" w:hAnsi="Times New Roman" w:cs="Times New Roman"/>
          <w:sz w:val="24"/>
          <w:szCs w:val="24"/>
          <w:lang w:val="kk-KZ"/>
        </w:rPr>
        <w:t>оучердің талқылау тақырыбы 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месе әрекет ету жоспары </w:t>
      </w:r>
      <w:r w:rsidRPr="005101D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r w:rsidRPr="00C85441">
        <w:rPr>
          <w:rFonts w:ascii="Times New Roman" w:eastAsia="Times New Roman" w:hAnsi="Times New Roman" w:cs="Times New Roman"/>
          <w:sz w:val="24"/>
          <w:szCs w:val="24"/>
        </w:rPr>
        <w:t xml:space="preserve">еакциялық </w:t>
      </w:r>
      <w:proofErr w:type="spellStart"/>
      <w:r w:rsidRPr="00C85441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6414">
        <w:rPr>
          <w:rFonts w:ascii="Times New Roman" w:hAnsi="Times New Roman" w:cs="Times New Roman"/>
          <w:sz w:val="24"/>
          <w:szCs w:val="24"/>
          <w:lang w:val="kk-KZ"/>
        </w:rPr>
        <w:t xml:space="preserve">Команда құру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9F6414">
        <w:rPr>
          <w:rFonts w:ascii="Times New Roman" w:hAnsi="Times New Roman" w:cs="Times New Roman"/>
          <w:sz w:val="24"/>
          <w:szCs w:val="24"/>
          <w:lang w:val="kk-KZ"/>
        </w:rPr>
        <w:t>ұйымды дамыту факторы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>Коучинг тұғырды қолданатын көшбасшы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Білім беруді жетілдіру жағдайында педагогтың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кәсіби-тұлғалық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дамуындағы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>коучингтің рөлі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bCs/>
          <w:sz w:val="24"/>
          <w:szCs w:val="24"/>
          <w:lang w:val="kk-KZ"/>
        </w:rPr>
        <w:t>Жеке тұлғаға бағдарланған білім мен тәрбие берудегі коучингтің мәні.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Балалардың әлеуметтік қараусыз қалуын алдын алудағы коучинг технологиялар 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bCs/>
          <w:sz w:val="24"/>
          <w:szCs w:val="24"/>
          <w:lang w:val="kk-KZ"/>
        </w:rPr>
        <w:t>Коучингті кәсіби бағдар беруде қолдану практикасы.</w:t>
      </w:r>
    </w:p>
    <w:p w:rsidR="002D1A64" w:rsidRDefault="002D1A64"/>
    <w:sectPr w:rsidR="002D1A64" w:rsidSect="008F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C69"/>
    <w:multiLevelType w:val="hybridMultilevel"/>
    <w:tmpl w:val="3842C560"/>
    <w:lvl w:ilvl="0" w:tplc="221044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E0BF2"/>
    <w:rsid w:val="002D1A64"/>
    <w:rsid w:val="008E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F2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8E0B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2015-06-22T05:53:00Z</dcterms:created>
  <dcterms:modified xsi:type="dcterms:W3CDTF">2015-06-22T05:53:00Z</dcterms:modified>
</cp:coreProperties>
</file>